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23" w:rsidRPr="00E74832" w:rsidRDefault="00212523" w:rsidP="00E74832">
      <w:pPr>
        <w:ind w:left="1418"/>
      </w:pPr>
    </w:p>
    <w:p w:rsidR="00212523" w:rsidRPr="00E74832" w:rsidRDefault="00E74832" w:rsidP="00084F62">
      <w:pPr>
        <w:ind w:left="1418"/>
      </w:pPr>
      <w:r w:rsidRPr="00E74832">
        <w:t xml:space="preserve">Le </w:t>
      </w:r>
      <w:r w:rsidR="000F785F">
        <w:t>1</w:t>
      </w:r>
      <w:r w:rsidR="002B015A">
        <w:t>4 mai 2021</w:t>
      </w:r>
      <w:r>
        <w:t>,</w:t>
      </w:r>
    </w:p>
    <w:p w:rsidR="00212523" w:rsidRPr="00E74832" w:rsidRDefault="00212523" w:rsidP="00084F62">
      <w:pPr>
        <w:ind w:left="1418"/>
      </w:pPr>
    </w:p>
    <w:p w:rsidR="00E74832" w:rsidRPr="00E74832" w:rsidRDefault="002B015A" w:rsidP="00E74832">
      <w:pPr>
        <w:pStyle w:val="Titre1"/>
        <w:spacing w:before="360" w:line="276" w:lineRule="auto"/>
        <w:jc w:val="center"/>
        <w:rPr>
          <w:rFonts w:asciiTheme="majorHAnsi" w:hAnsiTheme="majorHAnsi"/>
          <w:b w:val="0"/>
          <w:bCs w:val="0"/>
          <w:sz w:val="40"/>
          <w:szCs w:val="28"/>
        </w:rPr>
      </w:pPr>
      <w:r>
        <w:rPr>
          <w:rFonts w:asciiTheme="majorHAnsi" w:hAnsiTheme="majorHAnsi"/>
          <w:sz w:val="40"/>
          <w:szCs w:val="28"/>
        </w:rPr>
        <w:t>Tolérance au 30 juin</w:t>
      </w:r>
    </w:p>
    <w:p w:rsidR="00E74832" w:rsidRDefault="00E74832" w:rsidP="00E74832">
      <w:pPr>
        <w:jc w:val="center"/>
        <w:rPr>
          <w:rFonts w:asciiTheme="majorHAnsi" w:hAnsiTheme="majorHAnsi"/>
          <w:sz w:val="24"/>
          <w:szCs w:val="24"/>
        </w:rPr>
      </w:pPr>
      <w:r w:rsidRPr="00E74832">
        <w:rPr>
          <w:rFonts w:asciiTheme="majorHAnsi" w:hAnsiTheme="majorHAnsi"/>
          <w:sz w:val="24"/>
          <w:szCs w:val="24"/>
        </w:rPr>
        <w:t>Informations</w:t>
      </w:r>
    </w:p>
    <w:p w:rsidR="000F785F" w:rsidRPr="00E74832" w:rsidRDefault="000F785F" w:rsidP="00E74832">
      <w:pPr>
        <w:jc w:val="center"/>
        <w:rPr>
          <w:rFonts w:asciiTheme="majorHAnsi" w:hAnsiTheme="majorHAnsi"/>
          <w:sz w:val="24"/>
          <w:szCs w:val="24"/>
        </w:rPr>
      </w:pPr>
    </w:p>
    <w:p w:rsidR="00212523" w:rsidRPr="000F785F" w:rsidRDefault="000F785F" w:rsidP="000F785F">
      <w:pPr>
        <w:pStyle w:val="Titre2"/>
        <w:numPr>
          <w:ilvl w:val="0"/>
          <w:numId w:val="4"/>
        </w:numPr>
        <w:ind w:left="1843" w:hanging="425"/>
        <w:rPr>
          <w:b/>
        </w:rPr>
      </w:pPr>
      <w:r w:rsidRPr="000F785F">
        <w:rPr>
          <w:b/>
        </w:rPr>
        <w:t>EDI-IR</w:t>
      </w:r>
    </w:p>
    <w:p w:rsidR="007B3F31" w:rsidRPr="007B3F31" w:rsidRDefault="002B015A" w:rsidP="007B3F31">
      <w:pPr>
        <w:ind w:left="1418"/>
        <w:rPr>
          <w:b/>
          <w:color w:val="4F81BD" w:themeColor="accent1"/>
          <w:sz w:val="26"/>
          <w:szCs w:val="26"/>
        </w:rPr>
      </w:pPr>
      <w:r>
        <w:rPr>
          <w:b/>
          <w:color w:val="4F81BD" w:themeColor="accent1"/>
          <w:sz w:val="26"/>
          <w:szCs w:val="26"/>
        </w:rPr>
        <w:t>Tolérance</w:t>
      </w:r>
      <w:r w:rsidR="007B3F31" w:rsidRPr="007B3F31">
        <w:rPr>
          <w:b/>
          <w:color w:val="4F81BD" w:themeColor="accent1"/>
          <w:sz w:val="26"/>
          <w:szCs w:val="26"/>
        </w:rPr>
        <w:t xml:space="preserve"> des déclarations d’impôt sur le revenus ou EDI-IR – Précisions liées aux professions intermédiaires</w:t>
      </w:r>
    </w:p>
    <w:p w:rsidR="007B3F31" w:rsidRDefault="007B3F31" w:rsidP="007B3F31">
      <w:pPr>
        <w:ind w:left="1418"/>
      </w:pPr>
    </w:p>
    <w:p w:rsidR="007B3F31" w:rsidRDefault="002B015A" w:rsidP="007B3F31">
      <w:pPr>
        <w:ind w:left="1418"/>
      </w:pPr>
      <w:r>
        <w:t>Le Ministre</w:t>
      </w:r>
      <w:r w:rsidR="007B3F31">
        <w:t xml:space="preserve"> a </w:t>
      </w:r>
      <w:r>
        <w:t>octroyé une tolérance pour permettre</w:t>
      </w:r>
      <w:r w:rsidR="007B3F31">
        <w:t xml:space="preserve"> </w:t>
      </w:r>
      <w:r>
        <w:t>l</w:t>
      </w:r>
      <w:r w:rsidR="007B3F31">
        <w:t>e dépôt des déclarations d’impôt sur le revenu au 30 juin, lorsque celles-ci sont réalisées par des intermédiaires (experts-comptables</w:t>
      </w:r>
      <w:r>
        <w:t xml:space="preserve"> et avocats fiscalistes</w:t>
      </w:r>
      <w:r w:rsidR="007B3F31">
        <w:t>) et pour les déclarations</w:t>
      </w:r>
      <w:r>
        <w:rPr>
          <w:rFonts w:eastAsia="Times New Roman"/>
        </w:rPr>
        <w:t xml:space="preserve"> qui contiennent</w:t>
      </w:r>
      <w:r w:rsidR="007B3F31">
        <w:t xml:space="preserve"> :</w:t>
      </w:r>
    </w:p>
    <w:p w:rsidR="007B3F31" w:rsidRPr="007B3F31" w:rsidRDefault="007B3F31" w:rsidP="007B3F31">
      <w:pPr>
        <w:pStyle w:val="Paragraphedeliste"/>
        <w:numPr>
          <w:ilvl w:val="0"/>
          <w:numId w:val="3"/>
        </w:numPr>
        <w:ind w:left="2127"/>
      </w:pPr>
      <w:proofErr w:type="gramStart"/>
      <w:r w:rsidRPr="007B3F31">
        <w:t>des</w:t>
      </w:r>
      <w:proofErr w:type="gramEnd"/>
      <w:r w:rsidRPr="007B3F31">
        <w:t xml:space="preserve"> revenus des indépendants ;</w:t>
      </w:r>
    </w:p>
    <w:p w:rsidR="007B3F31" w:rsidRPr="007B3F31" w:rsidRDefault="007B3F31" w:rsidP="007B3F31">
      <w:pPr>
        <w:pStyle w:val="Paragraphedeliste"/>
        <w:numPr>
          <w:ilvl w:val="0"/>
          <w:numId w:val="3"/>
        </w:numPr>
        <w:ind w:left="2127"/>
      </w:pPr>
      <w:proofErr w:type="gramStart"/>
      <w:r w:rsidRPr="007B3F31">
        <w:t>comportant</w:t>
      </w:r>
      <w:proofErr w:type="gramEnd"/>
      <w:r w:rsidRPr="007B3F31">
        <w:t xml:space="preserve"> des revenus fonciers ;</w:t>
      </w:r>
    </w:p>
    <w:p w:rsidR="007B3F31" w:rsidRPr="007B3F31" w:rsidRDefault="007B3F31" w:rsidP="007B3F31">
      <w:pPr>
        <w:pStyle w:val="Paragraphedeliste"/>
        <w:numPr>
          <w:ilvl w:val="0"/>
          <w:numId w:val="3"/>
        </w:numPr>
        <w:ind w:left="2127"/>
      </w:pPr>
      <w:proofErr w:type="gramStart"/>
      <w:r w:rsidRPr="007B3F31">
        <w:t>des</w:t>
      </w:r>
      <w:proofErr w:type="gramEnd"/>
      <w:r w:rsidRPr="007B3F31">
        <w:t xml:space="preserve"> dirigeants de société et gérants majoritaires de l'article 62 du CGI ; </w:t>
      </w:r>
    </w:p>
    <w:p w:rsidR="007B3F31" w:rsidRPr="007B3F31" w:rsidRDefault="007B3F31" w:rsidP="007B3F31">
      <w:pPr>
        <w:pStyle w:val="Paragraphedeliste"/>
        <w:numPr>
          <w:ilvl w:val="0"/>
          <w:numId w:val="3"/>
        </w:numPr>
        <w:ind w:left="2127"/>
      </w:pPr>
      <w:proofErr w:type="gramStart"/>
      <w:r w:rsidRPr="007B3F31">
        <w:t>des</w:t>
      </w:r>
      <w:proofErr w:type="gramEnd"/>
      <w:r w:rsidRPr="007B3F31">
        <w:t xml:space="preserve"> redevables de l'IFI.</w:t>
      </w:r>
    </w:p>
    <w:p w:rsidR="002B015A" w:rsidRDefault="002B015A" w:rsidP="007B3F31">
      <w:pPr>
        <w:ind w:left="1418"/>
        <w:rPr>
          <w:rFonts w:eastAsia="Times New Roman"/>
        </w:rPr>
      </w:pPr>
    </w:p>
    <w:p w:rsidR="007B3F31" w:rsidRDefault="002B015A" w:rsidP="007B3F31">
      <w:pPr>
        <w:ind w:left="1418"/>
        <w:rPr>
          <w:rFonts w:eastAsia="Times New Roman"/>
        </w:rPr>
      </w:pPr>
      <w:r>
        <w:rPr>
          <w:rFonts w:eastAsia="Times New Roman"/>
        </w:rPr>
        <w:t>En conséquence, sur la base de ce périmètre fonctionnel, suite à l'octroi de cette tolérance, aucune pénalisation pour dépôt tardif ne sera mise en œuvre jusqu'au 30 juin.</w:t>
      </w:r>
    </w:p>
    <w:p w:rsidR="002B015A" w:rsidRDefault="002B015A" w:rsidP="007B3F31">
      <w:pPr>
        <w:ind w:left="1418"/>
      </w:pPr>
    </w:p>
    <w:p w:rsidR="000F785F" w:rsidRDefault="000F785F" w:rsidP="007B3F31">
      <w:pPr>
        <w:ind w:left="1418"/>
      </w:pPr>
    </w:p>
    <w:p w:rsidR="003F2185" w:rsidRPr="00A059B5" w:rsidRDefault="003F2185" w:rsidP="007B3F31">
      <w:pPr>
        <w:ind w:left="1418"/>
        <w:rPr>
          <w:rFonts w:eastAsia="Times New Roman"/>
          <w:b/>
        </w:rPr>
      </w:pPr>
      <w:r w:rsidRPr="00A059B5">
        <w:rPr>
          <w:rFonts w:eastAsia="Times New Roman"/>
          <w:b/>
        </w:rPr>
        <w:t>Calendrier de la campagne EDI-IR</w:t>
      </w:r>
    </w:p>
    <w:p w:rsidR="003F2185" w:rsidRDefault="003F2185" w:rsidP="007B3F31">
      <w:pPr>
        <w:ind w:left="1418"/>
        <w:rPr>
          <w:rFonts w:eastAsia="Times New Roman"/>
        </w:rPr>
      </w:pPr>
      <w:r>
        <w:rPr>
          <w:rFonts w:eastAsia="Times New Roman"/>
        </w:rPr>
        <w:t>Il est possible de transmettre des déclarations d’impôt sur le revenu vers l’administration fiscale depuis le Lundi 3 mai 2021.</w:t>
      </w:r>
    </w:p>
    <w:p w:rsidR="007B3F31" w:rsidRDefault="002B015A" w:rsidP="007B3F31">
      <w:pPr>
        <w:ind w:left="1418"/>
      </w:pPr>
      <w:r>
        <w:rPr>
          <w:rFonts w:eastAsia="Times New Roman"/>
        </w:rPr>
        <w:t xml:space="preserve">La date limite de dépôt des déclarations EDI-IR est le mardi 8 juin à 23h59 et le service </w:t>
      </w:r>
      <w:r w:rsidR="003F2185">
        <w:rPr>
          <w:rFonts w:eastAsia="Times New Roman"/>
        </w:rPr>
        <w:t xml:space="preserve">de réception des déclarations EDI-IR </w:t>
      </w:r>
      <w:r>
        <w:rPr>
          <w:rFonts w:eastAsia="Times New Roman"/>
        </w:rPr>
        <w:t>fermera le 30 juin à 23h59.</w:t>
      </w:r>
    </w:p>
    <w:p w:rsidR="003F2185" w:rsidRDefault="003F2185" w:rsidP="007B3F31">
      <w:pPr>
        <w:ind w:left="1418"/>
        <w:rPr>
          <w:rFonts w:eastAsia="Times New Roman"/>
        </w:rPr>
      </w:pPr>
    </w:p>
    <w:p w:rsidR="003F2185" w:rsidRDefault="003F2185" w:rsidP="007B3F31">
      <w:pPr>
        <w:ind w:left="1418"/>
        <w:rPr>
          <w:rFonts w:eastAsia="Times New Roman"/>
        </w:rPr>
      </w:pPr>
      <w:r>
        <w:rPr>
          <w:rFonts w:eastAsia="Times New Roman"/>
        </w:rPr>
        <w:t xml:space="preserve">Une première déclaration EDI-IR entrant dans le périmètre fonctionnel défini ci-avant, pourra être déposée jusqu'à la date de fermeture du service, soit entre le 9 et le 30 juin. </w:t>
      </w:r>
    </w:p>
    <w:p w:rsidR="003F2185" w:rsidRDefault="003F2185" w:rsidP="007B3F31">
      <w:pPr>
        <w:ind w:left="1418"/>
        <w:rPr>
          <w:rFonts w:eastAsia="Times New Roman"/>
        </w:rPr>
      </w:pPr>
      <w:r>
        <w:rPr>
          <w:rFonts w:eastAsia="Times New Roman"/>
        </w:rPr>
        <w:t>Par prudence, il conviendra de réserver un éventuel délai avant la fermeture du service afin de se prémunir contre un éventuel rejet et ainsi garder la possibilité de pouvoir transmettre une déclaration rectificative avant le 30 juin 23h59.</w:t>
      </w:r>
    </w:p>
    <w:p w:rsidR="003F2185" w:rsidRPr="007B3F31" w:rsidRDefault="003F2185" w:rsidP="007B3F31">
      <w:pPr>
        <w:ind w:left="1418"/>
      </w:pPr>
    </w:p>
    <w:p w:rsidR="007B3F31" w:rsidRDefault="007B3F31" w:rsidP="007B3F31">
      <w:pPr>
        <w:ind w:left="1418"/>
      </w:pPr>
      <w:r>
        <w:t xml:space="preserve">Il est rappelé que, pour avoir </w:t>
      </w:r>
      <w:r w:rsidR="003F2185">
        <w:t>l’</w:t>
      </w:r>
      <w:r>
        <w:t>assurance de disposer d'un taux actualisé et de recevoir un avis d'impôt 20</w:t>
      </w:r>
      <w:r w:rsidR="003F2185">
        <w:t>20</w:t>
      </w:r>
      <w:r>
        <w:t xml:space="preserve"> dès l'été, il est nécessaire de déclarer avant la date limite applicable aux déclarations papier, c'est-à-dire avant le </w:t>
      </w:r>
      <w:r w:rsidR="003F2185">
        <w:t>25</w:t>
      </w:r>
      <w:r>
        <w:t xml:space="preserve"> juin 23h59.</w:t>
      </w:r>
    </w:p>
    <w:p w:rsidR="007B3F31" w:rsidRDefault="007B3F31" w:rsidP="007B3F31">
      <w:pPr>
        <w:ind w:left="1418"/>
      </w:pPr>
    </w:p>
    <w:p w:rsidR="000F785F" w:rsidRDefault="000F785F" w:rsidP="007B3F31">
      <w:pPr>
        <w:ind w:left="1418"/>
      </w:pPr>
    </w:p>
    <w:p w:rsidR="003F2185" w:rsidRPr="00A059B5" w:rsidRDefault="003F2185" w:rsidP="007B3F31">
      <w:pPr>
        <w:ind w:left="1418"/>
        <w:rPr>
          <w:b/>
        </w:rPr>
      </w:pPr>
      <w:r w:rsidRPr="00A059B5">
        <w:rPr>
          <w:b/>
        </w:rPr>
        <w:t>Rappel du calendrier global de dépôt des déclarations d’impôt sur le revenu</w:t>
      </w:r>
    </w:p>
    <w:p w:rsidR="008D52CB" w:rsidRPr="008D52CB" w:rsidRDefault="008D52CB" w:rsidP="008D52CB">
      <w:pPr>
        <w:ind w:left="1418"/>
        <w:rPr>
          <w:b/>
          <w:color w:val="4F81BD" w:themeColor="accent1"/>
        </w:rPr>
      </w:pPr>
      <w:r w:rsidRPr="008D52CB">
        <w:rPr>
          <w:b/>
          <w:color w:val="4F81BD" w:themeColor="accent1"/>
        </w:rPr>
        <w:t>Ouverture des services de déclaration des revenus 2020</w:t>
      </w:r>
    </w:p>
    <w:p w:rsidR="008D52CB" w:rsidRPr="008D52CB" w:rsidRDefault="008D52CB" w:rsidP="008D52CB">
      <w:pPr>
        <w:ind w:left="1418"/>
      </w:pPr>
      <w:r w:rsidRPr="008D52CB">
        <w:t>08 avril 2021 : ouverture par internet</w:t>
      </w:r>
      <w:r>
        <w:t xml:space="preserve"> (Mode EFI)</w:t>
      </w:r>
    </w:p>
    <w:p w:rsidR="003F2185" w:rsidRDefault="008D52CB" w:rsidP="008D52CB">
      <w:pPr>
        <w:ind w:left="1418"/>
      </w:pPr>
      <w:r>
        <w:t xml:space="preserve">3 mai 2021 : </w:t>
      </w:r>
      <w:r w:rsidRPr="008D52CB">
        <w:t>ouverture par</w:t>
      </w:r>
      <w:r>
        <w:t xml:space="preserve"> télétransmission (Mode EDI)</w:t>
      </w:r>
    </w:p>
    <w:p w:rsidR="008D52CB" w:rsidRDefault="008D52CB" w:rsidP="008D52CB">
      <w:pPr>
        <w:ind w:left="1418"/>
      </w:pPr>
    </w:p>
    <w:p w:rsidR="000F785F" w:rsidRPr="000F785F" w:rsidRDefault="000F785F" w:rsidP="008D52CB">
      <w:pPr>
        <w:ind w:left="1418"/>
      </w:pPr>
      <w:r w:rsidRPr="000F785F">
        <w:br w:type="page"/>
      </w:r>
    </w:p>
    <w:p w:rsidR="000F785F" w:rsidRPr="000F785F" w:rsidRDefault="000F785F" w:rsidP="008D52CB">
      <w:pPr>
        <w:ind w:left="1418"/>
      </w:pPr>
    </w:p>
    <w:p w:rsidR="008D52CB" w:rsidRPr="008D52CB" w:rsidRDefault="008D52CB" w:rsidP="008D52CB">
      <w:pPr>
        <w:ind w:left="1418"/>
        <w:rPr>
          <w:b/>
          <w:color w:val="4F81BD" w:themeColor="accent1"/>
        </w:rPr>
      </w:pPr>
      <w:r w:rsidRPr="008D52CB">
        <w:rPr>
          <w:b/>
          <w:color w:val="4F81BD" w:themeColor="accent1"/>
        </w:rPr>
        <w:t>Dates limites de dépôt de déclaration des revenus 2020</w:t>
      </w:r>
    </w:p>
    <w:p w:rsidR="008D52CB" w:rsidRDefault="008D52CB" w:rsidP="008D52CB">
      <w:pPr>
        <w:ind w:left="1418"/>
      </w:pPr>
      <w:r w:rsidRPr="008D52CB">
        <w:t>20 mai 2021 : date limite de</w:t>
      </w:r>
      <w:r>
        <w:t>s</w:t>
      </w:r>
      <w:r w:rsidRPr="008D52CB">
        <w:t xml:space="preserve"> déclaration</w:t>
      </w:r>
      <w:r>
        <w:t>s</w:t>
      </w:r>
      <w:r w:rsidRPr="008D52CB">
        <w:t xml:space="preserve"> en version papier</w:t>
      </w:r>
    </w:p>
    <w:p w:rsidR="008D52CB" w:rsidRDefault="008D52CB" w:rsidP="008D52CB">
      <w:pPr>
        <w:ind w:left="1418"/>
      </w:pPr>
      <w:r>
        <w:t xml:space="preserve">26 mai 2021 : </w:t>
      </w:r>
      <w:r w:rsidRPr="008D52CB">
        <w:t xml:space="preserve">date limite </w:t>
      </w:r>
      <w:r>
        <w:t xml:space="preserve">de la zone 1 </w:t>
      </w:r>
      <w:r w:rsidRPr="008D52CB">
        <w:t>de</w:t>
      </w:r>
      <w:r>
        <w:t>s</w:t>
      </w:r>
      <w:r w:rsidRPr="008D52CB">
        <w:t xml:space="preserve"> déclaration</w:t>
      </w:r>
      <w:r>
        <w:t>s</w:t>
      </w:r>
      <w:r w:rsidRPr="008D52CB">
        <w:t xml:space="preserve"> </w:t>
      </w:r>
      <w:r>
        <w:t>par internet (Mode EFI)</w:t>
      </w:r>
    </w:p>
    <w:p w:rsidR="008D52CB" w:rsidRDefault="008D52CB" w:rsidP="008D52CB">
      <w:pPr>
        <w:ind w:left="1418"/>
      </w:pPr>
      <w:r>
        <w:t>1</w:t>
      </w:r>
      <w:r w:rsidRPr="008D52CB">
        <w:rPr>
          <w:vertAlign w:val="superscript"/>
        </w:rPr>
        <w:t>er</w:t>
      </w:r>
      <w:r>
        <w:t xml:space="preserve"> juin 2021 : </w:t>
      </w:r>
      <w:r w:rsidRPr="008D52CB">
        <w:t xml:space="preserve">date limite </w:t>
      </w:r>
      <w:r>
        <w:t xml:space="preserve">de la zone 2 </w:t>
      </w:r>
      <w:r w:rsidRPr="008D52CB">
        <w:t>de</w:t>
      </w:r>
      <w:r>
        <w:t>s</w:t>
      </w:r>
      <w:r w:rsidRPr="008D52CB">
        <w:t xml:space="preserve"> déclaration</w:t>
      </w:r>
      <w:r>
        <w:t>s</w:t>
      </w:r>
      <w:r w:rsidRPr="008D52CB">
        <w:t xml:space="preserve"> </w:t>
      </w:r>
      <w:r>
        <w:t>par internet (Mode EFI)</w:t>
      </w:r>
    </w:p>
    <w:p w:rsidR="008D52CB" w:rsidRDefault="008D52CB" w:rsidP="008D52CB">
      <w:pPr>
        <w:ind w:left="1418"/>
      </w:pPr>
      <w:r>
        <w:t xml:space="preserve">8 juin 2021 : </w:t>
      </w:r>
      <w:r w:rsidRPr="008D52CB">
        <w:t xml:space="preserve">date limite </w:t>
      </w:r>
      <w:r>
        <w:t xml:space="preserve">de la zone 3 </w:t>
      </w:r>
      <w:r w:rsidRPr="008D52CB">
        <w:t>de</w:t>
      </w:r>
      <w:r>
        <w:t>s</w:t>
      </w:r>
      <w:r w:rsidRPr="008D52CB">
        <w:t xml:space="preserve"> déclaration</w:t>
      </w:r>
      <w:r>
        <w:t>s</w:t>
      </w:r>
      <w:r w:rsidRPr="008D52CB">
        <w:t xml:space="preserve"> </w:t>
      </w:r>
      <w:r>
        <w:t>par internet (Mode EFI)</w:t>
      </w:r>
    </w:p>
    <w:p w:rsidR="008D52CB" w:rsidRDefault="008D52CB" w:rsidP="008D52CB">
      <w:pPr>
        <w:ind w:left="1418"/>
      </w:pPr>
      <w:r>
        <w:t xml:space="preserve">8 juin 2021 : </w:t>
      </w:r>
      <w:r w:rsidRPr="008D52CB">
        <w:t>date limite de</w:t>
      </w:r>
      <w:r>
        <w:t>s</w:t>
      </w:r>
      <w:r w:rsidRPr="008D52CB">
        <w:t xml:space="preserve"> déclaration</w:t>
      </w:r>
      <w:r>
        <w:t>s</w:t>
      </w:r>
      <w:r w:rsidRPr="008D52CB">
        <w:t xml:space="preserve"> </w:t>
      </w:r>
      <w:r>
        <w:t>hors périmètre défini ci-avant par télétransmission (Mode EDI)</w:t>
      </w:r>
    </w:p>
    <w:p w:rsidR="008D52CB" w:rsidRDefault="008D52CB" w:rsidP="008D52CB">
      <w:pPr>
        <w:ind w:left="1418"/>
      </w:pPr>
      <w:r>
        <w:t>30 juin 2021 :</w:t>
      </w:r>
      <w:r w:rsidRPr="008D52CB">
        <w:t xml:space="preserve"> date limite de</w:t>
      </w:r>
      <w:r>
        <w:t>s</w:t>
      </w:r>
      <w:r w:rsidRPr="008D52CB">
        <w:t xml:space="preserve"> déclaration</w:t>
      </w:r>
      <w:r>
        <w:t>s</w:t>
      </w:r>
      <w:r w:rsidRPr="008D52CB">
        <w:t xml:space="preserve"> </w:t>
      </w:r>
      <w:r w:rsidR="00DE5A9F">
        <w:t>entrant dans le</w:t>
      </w:r>
      <w:r>
        <w:t xml:space="preserve"> périmètre défini ci-avant par télétransmission (Mode EDI)</w:t>
      </w:r>
    </w:p>
    <w:p w:rsidR="000F785F" w:rsidRDefault="000F785F" w:rsidP="008D52CB">
      <w:pPr>
        <w:ind w:left="1418"/>
      </w:pPr>
    </w:p>
    <w:p w:rsidR="000F785F" w:rsidRDefault="000F785F" w:rsidP="008D52CB">
      <w:pPr>
        <w:ind w:left="1418"/>
      </w:pPr>
    </w:p>
    <w:p w:rsidR="000F785F" w:rsidRPr="000F785F" w:rsidRDefault="000F785F" w:rsidP="000F785F">
      <w:pPr>
        <w:pStyle w:val="Titre2"/>
        <w:numPr>
          <w:ilvl w:val="0"/>
          <w:numId w:val="4"/>
        </w:numPr>
        <w:ind w:left="1843" w:hanging="425"/>
        <w:rPr>
          <w:b/>
        </w:rPr>
      </w:pPr>
      <w:r w:rsidRPr="000F785F">
        <w:rPr>
          <w:b/>
        </w:rPr>
        <w:t>Déclarations professionnelles</w:t>
      </w:r>
    </w:p>
    <w:p w:rsidR="000F785F" w:rsidRDefault="000F785F" w:rsidP="000F785F">
      <w:pPr>
        <w:ind w:left="1418"/>
      </w:pPr>
      <w:r>
        <w:t>L</w:t>
      </w:r>
      <w:r w:rsidRPr="00E04F2E">
        <w:t xml:space="preserve">a profession </w:t>
      </w:r>
      <w:r>
        <w:t xml:space="preserve">comptable </w:t>
      </w:r>
      <w:r w:rsidRPr="00E04F2E">
        <w:t>a obtenu une tolérance officielle dans le dépôt des déclarations fiscales. L’objectif est de déposer le maximum de dossiers dans les délais et de bénéficier de la tolérance pour les retardataires.</w:t>
      </w:r>
    </w:p>
    <w:p w:rsidR="000F785F" w:rsidRDefault="000F785F" w:rsidP="000F785F">
      <w:pPr>
        <w:ind w:left="1418"/>
      </w:pPr>
    </w:p>
    <w:p w:rsidR="000F785F" w:rsidRPr="00E04F2E" w:rsidRDefault="000F785F" w:rsidP="000F785F">
      <w:pPr>
        <w:ind w:left="1418"/>
      </w:pPr>
      <w:r w:rsidRPr="00E04F2E">
        <w:t>Son</w:t>
      </w:r>
      <w:r>
        <w:t>t</w:t>
      </w:r>
      <w:r w:rsidRPr="00E04F2E">
        <w:t xml:space="preserve"> concernés pour la tolérance au 30 juin 2021 : </w:t>
      </w:r>
    </w:p>
    <w:p w:rsidR="000F785F" w:rsidRPr="000F785F" w:rsidRDefault="000F785F" w:rsidP="000F785F">
      <w:pPr>
        <w:pStyle w:val="Paragraphedeliste"/>
        <w:numPr>
          <w:ilvl w:val="0"/>
          <w:numId w:val="3"/>
        </w:numPr>
        <w:ind w:left="2127"/>
      </w:pPr>
      <w:proofErr w:type="gramStart"/>
      <w:r w:rsidRPr="000F785F">
        <w:t>les</w:t>
      </w:r>
      <w:proofErr w:type="gramEnd"/>
      <w:r w:rsidRPr="000F785F">
        <w:t xml:space="preserve"> Liasses fiscales</w:t>
      </w:r>
      <w:r>
        <w:t> ;</w:t>
      </w:r>
    </w:p>
    <w:p w:rsidR="000F785F" w:rsidRPr="000F785F" w:rsidRDefault="000F785F" w:rsidP="000F785F">
      <w:pPr>
        <w:pStyle w:val="Paragraphedeliste"/>
        <w:numPr>
          <w:ilvl w:val="0"/>
          <w:numId w:val="3"/>
        </w:numPr>
        <w:ind w:left="2127"/>
      </w:pPr>
      <w:proofErr w:type="gramStart"/>
      <w:r w:rsidRPr="000F785F">
        <w:t>les</w:t>
      </w:r>
      <w:proofErr w:type="gramEnd"/>
      <w:r w:rsidRPr="000F785F">
        <w:t xml:space="preserve"> soldes d’IS et leur paiement</w:t>
      </w:r>
      <w:r>
        <w:t> ;</w:t>
      </w:r>
    </w:p>
    <w:p w:rsidR="000F785F" w:rsidRPr="000F785F" w:rsidRDefault="000F785F" w:rsidP="000F785F">
      <w:pPr>
        <w:pStyle w:val="Paragraphedeliste"/>
        <w:numPr>
          <w:ilvl w:val="0"/>
          <w:numId w:val="3"/>
        </w:numPr>
        <w:ind w:left="2127"/>
      </w:pPr>
      <w:proofErr w:type="gramStart"/>
      <w:r w:rsidRPr="000F785F">
        <w:t>les</w:t>
      </w:r>
      <w:proofErr w:type="gramEnd"/>
      <w:r w:rsidRPr="000F785F">
        <w:t xml:space="preserve"> CVAE débitrices (pas de tolérance pour les CVAE créditrices)</w:t>
      </w:r>
      <w:r>
        <w:t>.</w:t>
      </w:r>
    </w:p>
    <w:p w:rsidR="000F785F" w:rsidRDefault="000F785F" w:rsidP="000F785F">
      <w:pPr>
        <w:ind w:left="1418"/>
      </w:pPr>
    </w:p>
    <w:p w:rsidR="000F785F" w:rsidRPr="00E04F2E" w:rsidRDefault="000F785F" w:rsidP="000F785F">
      <w:pPr>
        <w:ind w:left="1418"/>
      </w:pPr>
      <w:r>
        <w:t>Pour</w:t>
      </w:r>
      <w:r w:rsidRPr="00E04F2E">
        <w:t xml:space="preserve"> la CA12, la tolérance s’appliquera jusqu’au 30 juin, en deux temps. Tout d’abord une tolérance sans aucune justification jusqu’au 31 mai 2021, puis une tolérance au cas par cas, étudiée par l’administration fiscale sur justification du 1er au 30 juin 2021.</w:t>
      </w:r>
    </w:p>
    <w:p w:rsidR="000F785F" w:rsidRDefault="000F785F" w:rsidP="008D52CB">
      <w:pPr>
        <w:ind w:left="1418"/>
      </w:pPr>
      <w:bookmarkStart w:id="0" w:name="_GoBack"/>
      <w:bookmarkEnd w:id="0"/>
    </w:p>
    <w:sectPr w:rsidR="000F785F" w:rsidSect="00E74832">
      <w:headerReference w:type="default" r:id="rId7"/>
      <w:footerReference w:type="default" r:id="rId8"/>
      <w:type w:val="continuous"/>
      <w:pgSz w:w="11910" w:h="16840"/>
      <w:pgMar w:top="459" w:right="711" w:bottom="816" w:left="357"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322" w:rsidRDefault="00E94322" w:rsidP="003D7370">
      <w:r>
        <w:separator/>
      </w:r>
    </w:p>
  </w:endnote>
  <w:endnote w:type="continuationSeparator" w:id="0">
    <w:p w:rsidR="00E94322" w:rsidRDefault="00E94322" w:rsidP="003D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k Pro">
    <w:altName w:val="Calibri"/>
    <w:panose1 w:val="00000000000000000000"/>
    <w:charset w:val="00"/>
    <w:family w:val="swiss"/>
    <w:notTrueType/>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6FD" w:rsidRPr="005E16FD" w:rsidRDefault="005E16FD" w:rsidP="00186E2F">
    <w:pPr>
      <w:pStyle w:val="Corpsdetexte"/>
      <w:spacing w:before="58"/>
      <w:ind w:left="284"/>
      <w:rPr>
        <w:rFonts w:ascii="Mark Pro" w:hAnsi="Mark Pro"/>
        <w:b/>
        <w:color w:val="124392"/>
      </w:rPr>
    </w:pPr>
    <w:r w:rsidRPr="005E16FD">
      <w:rPr>
        <w:rFonts w:ascii="Mark Pro" w:hAnsi="Mark Pro"/>
        <w:b/>
        <w:color w:val="124392"/>
      </w:rPr>
      <w:t>EDIFICAS</w:t>
    </w:r>
  </w:p>
  <w:p w:rsidR="00C64017" w:rsidRDefault="002B7B30" w:rsidP="00186E2F">
    <w:pPr>
      <w:pStyle w:val="Corpsdetexte"/>
      <w:spacing w:before="58"/>
      <w:ind w:left="284"/>
      <w:rPr>
        <w:rFonts w:ascii="Mark Pro" w:hAnsi="Mark Pro"/>
        <w:color w:val="6D6E71"/>
        <w:spacing w:val="-1"/>
      </w:rPr>
    </w:pPr>
    <w:r>
      <w:rPr>
        <w:rFonts w:ascii="Mark Pro" w:hAnsi="Mark Pro"/>
        <w:color w:val="6D6E71"/>
        <w:spacing w:val="-1"/>
      </w:rPr>
      <w:t>Association loi 1901</w:t>
    </w:r>
  </w:p>
  <w:p w:rsidR="000B7882" w:rsidRDefault="000B7882" w:rsidP="00186E2F">
    <w:pPr>
      <w:pStyle w:val="Corpsdetexte"/>
      <w:spacing w:before="58"/>
      <w:ind w:left="284"/>
      <w:rPr>
        <w:rFonts w:ascii="Mark Pro" w:hAnsi="Mark Pro"/>
        <w:color w:val="6D6E71"/>
        <w:spacing w:val="-1"/>
      </w:rPr>
    </w:pPr>
    <w:r>
      <w:rPr>
        <w:rFonts w:ascii="Mark Pro" w:hAnsi="Mark Pro"/>
        <w:color w:val="6D6E71"/>
        <w:spacing w:val="-1"/>
      </w:rPr>
      <w:t>Siret FR47 395 183 767 000</w:t>
    </w:r>
    <w:r w:rsidR="00E83E1C">
      <w:rPr>
        <w:rFonts w:ascii="Mark Pro" w:hAnsi="Mark Pro"/>
        <w:color w:val="6D6E71"/>
        <w:spacing w:val="-1"/>
      </w:rPr>
      <w:t>30</w:t>
    </w:r>
    <w:r>
      <w:rPr>
        <w:rFonts w:ascii="Mark Pro" w:hAnsi="Mark Pro"/>
        <w:color w:val="6D6E71"/>
        <w:spacing w:val="-1"/>
      </w:rPr>
      <w:t xml:space="preserve"> </w:t>
    </w:r>
    <w:r w:rsidR="009D2367">
      <w:rPr>
        <w:rFonts w:ascii="Mark Pro" w:hAnsi="Mark Pro"/>
        <w:color w:val="6D6E71"/>
        <w:spacing w:val="-1"/>
      </w:rPr>
      <w:t>–</w:t>
    </w:r>
    <w:r>
      <w:rPr>
        <w:rFonts w:ascii="Mark Pro" w:hAnsi="Mark Pro"/>
        <w:color w:val="6D6E71"/>
        <w:spacing w:val="-1"/>
      </w:rPr>
      <w:t xml:space="preserve"> APE</w:t>
    </w:r>
    <w:r w:rsidR="009D2367">
      <w:rPr>
        <w:rFonts w:ascii="Mark Pro" w:hAnsi="Mark Pro"/>
        <w:color w:val="6D6E71"/>
        <w:spacing w:val="-1"/>
      </w:rPr>
      <w:t xml:space="preserve"> 9499Z</w:t>
    </w:r>
  </w:p>
  <w:p w:rsidR="00A158C3" w:rsidRDefault="00186E2F" w:rsidP="00C64017">
    <w:pPr>
      <w:pStyle w:val="Corpsdetexte"/>
      <w:spacing w:before="58"/>
      <w:ind w:left="284"/>
      <w:rPr>
        <w:rFonts w:ascii="Mark Pro" w:hAnsi="Mark Pro"/>
      </w:rPr>
    </w:pPr>
    <w:r w:rsidRPr="00186E2F">
      <w:rPr>
        <w:rFonts w:ascii="Mark Pro" w:hAnsi="Mark Pro"/>
        <w:color w:val="6D6E71"/>
        <w:spacing w:val="-1"/>
      </w:rPr>
      <w:t>Immeuble Le Jour 200-216 rue Raymond Losserand 75680 Paris cedex 14</w:t>
    </w:r>
  </w:p>
  <w:p w:rsidR="00186E2F" w:rsidRPr="00186E2F" w:rsidRDefault="00186E2F" w:rsidP="00C64017">
    <w:pPr>
      <w:pStyle w:val="Corpsdetexte"/>
      <w:spacing w:before="58"/>
      <w:ind w:left="284"/>
      <w:rPr>
        <w:rFonts w:ascii="Mark Pro" w:hAnsi="Mark Pro"/>
      </w:rPr>
    </w:pPr>
    <w:r w:rsidRPr="00186E2F">
      <w:rPr>
        <w:rFonts w:ascii="Mark Pro" w:hAnsi="Mark Pro"/>
        <w:color w:val="6D6E71"/>
      </w:rPr>
      <w:t>Tél.</w:t>
    </w:r>
    <w:r w:rsidRPr="00186E2F">
      <w:rPr>
        <w:rFonts w:ascii="Mark Pro" w:hAnsi="Mark Pro"/>
        <w:color w:val="6D6E71"/>
        <w:spacing w:val="-1"/>
      </w:rPr>
      <w:t xml:space="preserve"> +33</w:t>
    </w:r>
    <w:r w:rsidRPr="00186E2F">
      <w:rPr>
        <w:rFonts w:ascii="Mark Pro" w:hAnsi="Mark Pro"/>
        <w:color w:val="6D6E71"/>
      </w:rPr>
      <w:t xml:space="preserve"> </w:t>
    </w:r>
    <w:r w:rsidRPr="00186E2F">
      <w:rPr>
        <w:rFonts w:ascii="Mark Pro" w:hAnsi="Mark Pro"/>
        <w:color w:val="6D6E71"/>
        <w:spacing w:val="-1"/>
      </w:rPr>
      <w:t>(0)1</w:t>
    </w:r>
    <w:r w:rsidRPr="00186E2F">
      <w:rPr>
        <w:rFonts w:ascii="Mark Pro" w:hAnsi="Mark Pro"/>
        <w:color w:val="6D6E71"/>
      </w:rPr>
      <w:t xml:space="preserve"> </w:t>
    </w:r>
    <w:r w:rsidRPr="00186E2F">
      <w:rPr>
        <w:rFonts w:ascii="Mark Pro" w:hAnsi="Mark Pro"/>
        <w:color w:val="6D6E71"/>
        <w:spacing w:val="-1"/>
      </w:rPr>
      <w:t>44</w:t>
    </w:r>
    <w:r w:rsidRPr="00186E2F">
      <w:rPr>
        <w:rFonts w:ascii="Mark Pro" w:hAnsi="Mark Pro"/>
        <w:color w:val="6D6E71"/>
      </w:rPr>
      <w:t xml:space="preserve"> </w:t>
    </w:r>
    <w:r w:rsidRPr="00186E2F">
      <w:rPr>
        <w:rFonts w:ascii="Mark Pro" w:hAnsi="Mark Pro"/>
        <w:color w:val="6D6E71"/>
        <w:spacing w:val="-1"/>
      </w:rPr>
      <w:t>15</w:t>
    </w:r>
    <w:r w:rsidRPr="00186E2F">
      <w:rPr>
        <w:rFonts w:ascii="Mark Pro" w:hAnsi="Mark Pro"/>
        <w:color w:val="6D6E71"/>
      </w:rPr>
      <w:t xml:space="preserve"> </w:t>
    </w:r>
    <w:r w:rsidRPr="00186E2F">
      <w:rPr>
        <w:rFonts w:ascii="Mark Pro" w:hAnsi="Mark Pro"/>
        <w:color w:val="6D6E71"/>
        <w:spacing w:val="-1"/>
      </w:rPr>
      <w:t>60</w:t>
    </w:r>
    <w:r w:rsidRPr="00186E2F">
      <w:rPr>
        <w:rFonts w:ascii="Mark Pro" w:hAnsi="Mark Pro"/>
        <w:color w:val="6D6E71"/>
      </w:rPr>
      <w:t xml:space="preserve"> </w:t>
    </w:r>
    <w:r w:rsidR="009D2367">
      <w:rPr>
        <w:rFonts w:ascii="Mark Pro" w:hAnsi="Mark Pro"/>
        <w:color w:val="6D6E71"/>
        <w:spacing w:val="-1"/>
      </w:rPr>
      <w:t>00</w:t>
    </w:r>
  </w:p>
  <w:p w:rsidR="003D7370" w:rsidRPr="00084F62" w:rsidRDefault="00E94322" w:rsidP="00A117DB">
    <w:pPr>
      <w:pStyle w:val="Titre1"/>
      <w:tabs>
        <w:tab w:val="right" w:pos="10915"/>
      </w:tabs>
      <w:spacing w:before="32"/>
      <w:ind w:left="284"/>
      <w:rPr>
        <w:rFonts w:ascii="Mark Pro" w:hAnsi="Mark Pro"/>
        <w:color w:val="124392"/>
        <w:spacing w:val="-2"/>
      </w:rPr>
    </w:pPr>
    <w:hyperlink r:id="rId1" w:history="1">
      <w:r w:rsidR="00DA3CD5" w:rsidRPr="00084F62">
        <w:rPr>
          <w:rStyle w:val="Lienhypertexte"/>
          <w:rFonts w:ascii="Mark Pro" w:hAnsi="Mark Pro"/>
          <w:color w:val="124392"/>
          <w:spacing w:val="-2"/>
        </w:rPr>
        <w:t>www</w:t>
      </w:r>
      <w:r w:rsidR="00DA3CD5" w:rsidRPr="00085299">
        <w:rPr>
          <w:rStyle w:val="Lienhypertexte"/>
          <w:rFonts w:ascii="Mark Pro" w:hAnsi="Mark Pro"/>
          <w:color w:val="124392"/>
          <w:spacing w:val="-2"/>
        </w:rPr>
        <w:t>.edificas.fr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322" w:rsidRDefault="00E94322" w:rsidP="003D7370">
      <w:r>
        <w:separator/>
      </w:r>
    </w:p>
  </w:footnote>
  <w:footnote w:type="continuationSeparator" w:id="0">
    <w:p w:rsidR="00E94322" w:rsidRDefault="00E94322" w:rsidP="003D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370" w:rsidRDefault="00186E2F" w:rsidP="00182804">
    <w:pPr>
      <w:pStyle w:val="En-tte"/>
      <w:ind w:left="284"/>
    </w:pPr>
    <w:r w:rsidRPr="00B221F1">
      <w:rPr>
        <w:rFonts w:ascii="Mark Pro" w:hAnsi="Mark Pro"/>
        <w:noProof/>
      </w:rPr>
      <mc:AlternateContent>
        <mc:Choice Requires="wpg">
          <w:drawing>
            <wp:anchor distT="0" distB="0" distL="114300" distR="114300" simplePos="0" relativeHeight="251659264" behindDoc="0" locked="0" layoutInCell="1" allowOverlap="1" wp14:anchorId="404D35A3" wp14:editId="6D0F837B">
              <wp:simplePos x="0" y="0"/>
              <wp:positionH relativeFrom="page">
                <wp:posOffset>402332</wp:posOffset>
              </wp:positionH>
              <wp:positionV relativeFrom="paragraph">
                <wp:posOffset>833163</wp:posOffset>
              </wp:positionV>
              <wp:extent cx="216977" cy="7870535"/>
              <wp:effectExtent l="0" t="0" r="0" b="165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77" cy="7870535"/>
                        <a:chOff x="577" y="-14005"/>
                        <a:chExt cx="2" cy="13033"/>
                      </a:xfrm>
                    </wpg:grpSpPr>
                    <wps:wsp>
                      <wps:cNvPr id="5" name="Freeform 3"/>
                      <wps:cNvSpPr>
                        <a:spLocks/>
                      </wps:cNvSpPr>
                      <wps:spPr bwMode="auto">
                        <a:xfrm>
                          <a:off x="577" y="-14005"/>
                          <a:ext cx="2" cy="13033"/>
                        </a:xfrm>
                        <a:custGeom>
                          <a:avLst/>
                          <a:gdLst>
                            <a:gd name="T0" fmla="+- 0 -13825 -13825"/>
                            <a:gd name="T1" fmla="*/ -13825 h 13645"/>
                            <a:gd name="T2" fmla="+- 0 -181 -13825"/>
                            <a:gd name="T3" fmla="*/ -181 h 13645"/>
                          </a:gdLst>
                          <a:ahLst/>
                          <a:cxnLst>
                            <a:cxn ang="0">
                              <a:pos x="0" y="T1"/>
                            </a:cxn>
                            <a:cxn ang="0">
                              <a:pos x="0" y="T3"/>
                            </a:cxn>
                          </a:cxnLst>
                          <a:rect l="0" t="0" r="r" b="b"/>
                          <a:pathLst>
                            <a:path h="13645">
                              <a:moveTo>
                                <a:pt x="0" y="0"/>
                              </a:moveTo>
                              <a:lnTo>
                                <a:pt x="0" y="13644"/>
                              </a:lnTo>
                            </a:path>
                          </a:pathLst>
                        </a:custGeom>
                        <a:noFill/>
                        <a:ln w="63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C90A0" id="Group 2" o:spid="_x0000_s1026" style="position:absolute;margin-left:31.7pt;margin-top:65.6pt;width:17.1pt;height:619.75pt;z-index:251659264;mso-position-horizontal-relative:page" coordorigin="577,-14005" coordsize="2,1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">
              <v:shape id="Freeform 3" o:spid="_x0000_s1027" style="position:absolute;left:577;top:-14005;width:2;height:13033;visibility:visible;mso-wrap-style:square;v-text-anchor:top" coordsize="2,1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" path="m,l,13644e" filled="f" strokecolor="#6d6e71" strokeweight=".5pt">
                <v:path arrowok="t" o:connecttype="custom" o:connectlocs="0,-13205;0,-173" o:connectangles="0,0"/>
              </v:shape>
              <w10:wrap anchorx="page"/>
            </v:group>
          </w:pict>
        </mc:Fallback>
      </mc:AlternateContent>
    </w:r>
    <w:r w:rsidR="00D079E0">
      <w:rPr>
        <w:rFonts w:ascii="Mark Pro" w:hAnsi="Mark Pro"/>
        <w:noProof/>
        <w:color w:val="6D6E71"/>
        <w:spacing w:val="-1"/>
      </w:rPr>
      <w:drawing>
        <wp:inline distT="0" distB="0" distL="0" distR="0" wp14:anchorId="569ABBC3" wp14:editId="0921FB04">
          <wp:extent cx="1534795" cy="497486"/>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ificas.png"/>
                  <pic:cNvPicPr/>
                </pic:nvPicPr>
                <pic:blipFill>
                  <a:blip r:embed="rId1">
                    <a:extLst>
                      <a:ext uri="{28A0092B-C50C-407E-A947-70E740481C1C}">
                        <a14:useLocalDpi xmlns:a14="http://schemas.microsoft.com/office/drawing/2010/main" val="0"/>
                      </a:ext>
                    </a:extLst>
                  </a:blip>
                  <a:stretch>
                    <a:fillRect/>
                  </a:stretch>
                </pic:blipFill>
                <pic:spPr>
                  <a:xfrm>
                    <a:off x="0" y="0"/>
                    <a:ext cx="1575995" cy="510841"/>
                  </a:xfrm>
                  <a:prstGeom prst="rect">
                    <a:avLst/>
                  </a:prstGeom>
                </pic:spPr>
              </pic:pic>
            </a:graphicData>
          </a:graphic>
        </wp:inline>
      </w:drawing>
    </w:r>
    <w:r w:rsidR="00E74832">
      <w:tab/>
    </w:r>
    <w:r w:rsidR="00E74832">
      <w:tab/>
    </w:r>
    <w:r w:rsidR="00E74832" w:rsidRPr="00E74832">
      <w:rPr>
        <w:b/>
      </w:rPr>
      <w:t>Information</w:t>
    </w:r>
    <w:r w:rsidR="00E74832">
      <w:rPr>
        <w:b/>
      </w:rPr>
      <w:t xml:space="preserve"> </w:t>
    </w:r>
    <w:r w:rsidR="000F785F">
      <w:rPr>
        <w:b/>
      </w:rPr>
      <w:t>Téléprocédures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E22"/>
    <w:multiLevelType w:val="hybridMultilevel"/>
    <w:tmpl w:val="0AD4ACA2"/>
    <w:lvl w:ilvl="0" w:tplc="605412B4">
      <w:numFmt w:val="bullet"/>
      <w:lvlText w:val="·"/>
      <w:lvlJc w:val="left"/>
      <w:pPr>
        <w:ind w:left="1778" w:hanging="360"/>
      </w:pPr>
      <w:rPr>
        <w:rFonts w:ascii="Calibri" w:eastAsiaTheme="minorHAnsi" w:hAnsi="Calibri"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25E20682"/>
    <w:multiLevelType w:val="hybridMultilevel"/>
    <w:tmpl w:val="BC8618B8"/>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 w15:restartNumberingAfterBreak="0">
    <w:nsid w:val="2B5D4BF2"/>
    <w:multiLevelType w:val="multilevel"/>
    <w:tmpl w:val="77EACE9E"/>
    <w:lvl w:ilvl="0">
      <w:start w:val="1"/>
      <w:numFmt w:val="bullet"/>
      <w:lvlText w:val=""/>
      <w:lvlJc w:val="left"/>
      <w:pPr>
        <w:tabs>
          <w:tab w:val="num" w:pos="1563"/>
        </w:tabs>
        <w:ind w:left="1563" w:hanging="360"/>
      </w:pPr>
      <w:rPr>
        <w:rFonts w:ascii="Symbol" w:hAnsi="Symbol" w:hint="default"/>
        <w:sz w:val="20"/>
      </w:rPr>
    </w:lvl>
    <w:lvl w:ilvl="1">
      <w:start w:val="1"/>
      <w:numFmt w:val="bullet"/>
      <w:lvlText w:val="o"/>
      <w:lvlJc w:val="left"/>
      <w:pPr>
        <w:tabs>
          <w:tab w:val="num" w:pos="2283"/>
        </w:tabs>
        <w:ind w:left="2283" w:hanging="360"/>
      </w:pPr>
      <w:rPr>
        <w:rFonts w:ascii="Courier New" w:hAnsi="Courier New" w:cs="Times New Roman" w:hint="default"/>
        <w:sz w:val="20"/>
      </w:rPr>
    </w:lvl>
    <w:lvl w:ilvl="2">
      <w:start w:val="1"/>
      <w:numFmt w:val="bullet"/>
      <w:lvlText w:val=""/>
      <w:lvlJc w:val="left"/>
      <w:pPr>
        <w:tabs>
          <w:tab w:val="num" w:pos="3003"/>
        </w:tabs>
        <w:ind w:left="3003" w:hanging="360"/>
      </w:pPr>
      <w:rPr>
        <w:rFonts w:ascii="Wingdings" w:hAnsi="Wingdings" w:hint="default"/>
        <w:sz w:val="20"/>
      </w:rPr>
    </w:lvl>
    <w:lvl w:ilvl="3">
      <w:start w:val="1"/>
      <w:numFmt w:val="bullet"/>
      <w:lvlText w:val=""/>
      <w:lvlJc w:val="left"/>
      <w:pPr>
        <w:tabs>
          <w:tab w:val="num" w:pos="3723"/>
        </w:tabs>
        <w:ind w:left="3723" w:hanging="360"/>
      </w:pPr>
      <w:rPr>
        <w:rFonts w:ascii="Wingdings" w:hAnsi="Wingdings" w:hint="default"/>
        <w:sz w:val="20"/>
      </w:rPr>
    </w:lvl>
    <w:lvl w:ilvl="4">
      <w:start w:val="1"/>
      <w:numFmt w:val="bullet"/>
      <w:lvlText w:val=""/>
      <w:lvlJc w:val="left"/>
      <w:pPr>
        <w:tabs>
          <w:tab w:val="num" w:pos="4443"/>
        </w:tabs>
        <w:ind w:left="4443" w:hanging="360"/>
      </w:pPr>
      <w:rPr>
        <w:rFonts w:ascii="Wingdings" w:hAnsi="Wingdings" w:hint="default"/>
        <w:sz w:val="20"/>
      </w:rPr>
    </w:lvl>
    <w:lvl w:ilvl="5">
      <w:start w:val="1"/>
      <w:numFmt w:val="bullet"/>
      <w:lvlText w:val=""/>
      <w:lvlJc w:val="left"/>
      <w:pPr>
        <w:tabs>
          <w:tab w:val="num" w:pos="5163"/>
        </w:tabs>
        <w:ind w:left="5163" w:hanging="360"/>
      </w:pPr>
      <w:rPr>
        <w:rFonts w:ascii="Wingdings" w:hAnsi="Wingdings" w:hint="default"/>
        <w:sz w:val="20"/>
      </w:rPr>
    </w:lvl>
    <w:lvl w:ilvl="6">
      <w:start w:val="1"/>
      <w:numFmt w:val="bullet"/>
      <w:lvlText w:val=""/>
      <w:lvlJc w:val="left"/>
      <w:pPr>
        <w:tabs>
          <w:tab w:val="num" w:pos="5883"/>
        </w:tabs>
        <w:ind w:left="5883" w:hanging="360"/>
      </w:pPr>
      <w:rPr>
        <w:rFonts w:ascii="Wingdings" w:hAnsi="Wingdings" w:hint="default"/>
        <w:sz w:val="20"/>
      </w:rPr>
    </w:lvl>
    <w:lvl w:ilvl="7">
      <w:start w:val="1"/>
      <w:numFmt w:val="bullet"/>
      <w:lvlText w:val=""/>
      <w:lvlJc w:val="left"/>
      <w:pPr>
        <w:tabs>
          <w:tab w:val="num" w:pos="6603"/>
        </w:tabs>
        <w:ind w:left="6603" w:hanging="360"/>
      </w:pPr>
      <w:rPr>
        <w:rFonts w:ascii="Wingdings" w:hAnsi="Wingdings" w:hint="default"/>
        <w:sz w:val="20"/>
      </w:rPr>
    </w:lvl>
    <w:lvl w:ilvl="8">
      <w:start w:val="1"/>
      <w:numFmt w:val="bullet"/>
      <w:lvlText w:val=""/>
      <w:lvlJc w:val="left"/>
      <w:pPr>
        <w:tabs>
          <w:tab w:val="num" w:pos="7323"/>
        </w:tabs>
        <w:ind w:left="7323" w:hanging="360"/>
      </w:pPr>
      <w:rPr>
        <w:rFonts w:ascii="Wingdings" w:hAnsi="Wingdings" w:hint="default"/>
        <w:sz w:val="20"/>
      </w:rPr>
    </w:lvl>
  </w:abstractNum>
  <w:abstractNum w:abstractNumId="3" w15:restartNumberingAfterBreak="0">
    <w:nsid w:val="3CC34F8E"/>
    <w:multiLevelType w:val="hybridMultilevel"/>
    <w:tmpl w:val="9CBECB8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70FB2411"/>
    <w:multiLevelType w:val="hybridMultilevel"/>
    <w:tmpl w:val="B56A4CC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73137C50"/>
    <w:multiLevelType w:val="hybridMultilevel"/>
    <w:tmpl w:val="D1A649D6"/>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15:restartNumberingAfterBreak="0">
    <w:nsid w:val="7B955D0D"/>
    <w:multiLevelType w:val="hybridMultilevel"/>
    <w:tmpl w:val="FB70BB0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23"/>
    <w:rsid w:val="00057A72"/>
    <w:rsid w:val="00084F62"/>
    <w:rsid w:val="00085299"/>
    <w:rsid w:val="00094722"/>
    <w:rsid w:val="000B7882"/>
    <w:rsid w:val="000F785F"/>
    <w:rsid w:val="00121790"/>
    <w:rsid w:val="00140F80"/>
    <w:rsid w:val="001808AD"/>
    <w:rsid w:val="00182804"/>
    <w:rsid w:val="00186E2F"/>
    <w:rsid w:val="001878D6"/>
    <w:rsid w:val="00212523"/>
    <w:rsid w:val="00247FD6"/>
    <w:rsid w:val="00292FB8"/>
    <w:rsid w:val="002B015A"/>
    <w:rsid w:val="002B15C5"/>
    <w:rsid w:val="002B7B30"/>
    <w:rsid w:val="003045D4"/>
    <w:rsid w:val="00323BDF"/>
    <w:rsid w:val="0039514D"/>
    <w:rsid w:val="003A2ADC"/>
    <w:rsid w:val="003D7370"/>
    <w:rsid w:val="003F2185"/>
    <w:rsid w:val="00411C33"/>
    <w:rsid w:val="004843BD"/>
    <w:rsid w:val="00505914"/>
    <w:rsid w:val="0054362C"/>
    <w:rsid w:val="00575B97"/>
    <w:rsid w:val="0059380F"/>
    <w:rsid w:val="005A2309"/>
    <w:rsid w:val="005E16FD"/>
    <w:rsid w:val="005E17AB"/>
    <w:rsid w:val="00643AE6"/>
    <w:rsid w:val="0070518A"/>
    <w:rsid w:val="00720A37"/>
    <w:rsid w:val="0076261C"/>
    <w:rsid w:val="007B3F31"/>
    <w:rsid w:val="00897C36"/>
    <w:rsid w:val="008D52CB"/>
    <w:rsid w:val="0092109F"/>
    <w:rsid w:val="009D2367"/>
    <w:rsid w:val="00A04D53"/>
    <w:rsid w:val="00A059B5"/>
    <w:rsid w:val="00A117DB"/>
    <w:rsid w:val="00A158C3"/>
    <w:rsid w:val="00A228D5"/>
    <w:rsid w:val="00A73CDB"/>
    <w:rsid w:val="00AB64C4"/>
    <w:rsid w:val="00AC0779"/>
    <w:rsid w:val="00B221F1"/>
    <w:rsid w:val="00B72292"/>
    <w:rsid w:val="00C64017"/>
    <w:rsid w:val="00CC19E0"/>
    <w:rsid w:val="00D079E0"/>
    <w:rsid w:val="00D14776"/>
    <w:rsid w:val="00D20918"/>
    <w:rsid w:val="00DA3CD5"/>
    <w:rsid w:val="00DD5B64"/>
    <w:rsid w:val="00DE5A9F"/>
    <w:rsid w:val="00DF39AA"/>
    <w:rsid w:val="00E11EC9"/>
    <w:rsid w:val="00E74832"/>
    <w:rsid w:val="00E83E1C"/>
    <w:rsid w:val="00E94322"/>
    <w:rsid w:val="00EE1335"/>
    <w:rsid w:val="00F67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E5486"/>
  <w15:docId w15:val="{CAB3567F-1585-7046-BB1A-ECD3554F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paragraph" w:styleId="Titre1">
    <w:name w:val="heading 1"/>
    <w:basedOn w:val="Normal"/>
    <w:uiPriority w:val="9"/>
    <w:qFormat/>
    <w:pPr>
      <w:ind w:left="538"/>
      <w:outlineLvl w:val="0"/>
    </w:pPr>
    <w:rPr>
      <w:rFonts w:ascii="Trebuchet MS" w:eastAsia="Trebuchet MS" w:hAnsi="Trebuchet MS"/>
      <w:b/>
      <w:bCs/>
      <w:sz w:val="18"/>
      <w:szCs w:val="18"/>
    </w:rPr>
  </w:style>
  <w:style w:type="paragraph" w:styleId="Titre2">
    <w:name w:val="heading 2"/>
    <w:basedOn w:val="Normal"/>
    <w:next w:val="Normal"/>
    <w:link w:val="Titre2Car"/>
    <w:uiPriority w:val="9"/>
    <w:unhideWhenUsed/>
    <w:qFormat/>
    <w:rsid w:val="000F785F"/>
    <w:pPr>
      <w:keepNext/>
      <w:keepLines/>
      <w:spacing w:before="40"/>
      <w:ind w:left="1418"/>
      <w:outlineLvl w:val="1"/>
    </w:pPr>
    <w:rPr>
      <w:rFonts w:asciiTheme="majorHAnsi" w:eastAsiaTheme="majorEastAsia" w:hAnsiTheme="majorHAnsi" w:cstheme="majorBidi"/>
      <w:color w:val="365F91" w:themeColor="accent1" w:themeShade="BF"/>
      <w:sz w:val="28"/>
      <w:szCs w:val="26"/>
    </w:rPr>
  </w:style>
  <w:style w:type="paragraph" w:styleId="Titre3">
    <w:name w:val="heading 3"/>
    <w:basedOn w:val="Normal"/>
    <w:next w:val="Normal"/>
    <w:link w:val="Titre3Car"/>
    <w:uiPriority w:val="9"/>
    <w:qFormat/>
    <w:rsid w:val="00E74832"/>
    <w:pPr>
      <w:keepNext/>
      <w:widowControl/>
      <w:spacing w:before="120" w:after="240"/>
      <w:jc w:val="both"/>
      <w:outlineLvl w:val="2"/>
    </w:pPr>
    <w:rPr>
      <w:rFonts w:ascii="Arial" w:eastAsia="Times New Roman" w:hAnsi="Arial"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31"/>
      <w:ind w:left="538"/>
    </w:pPr>
    <w:rPr>
      <w:rFonts w:ascii="Trebuchet MS" w:eastAsia="Trebuchet MS" w:hAnsi="Trebuchet MS"/>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D7370"/>
    <w:pPr>
      <w:tabs>
        <w:tab w:val="center" w:pos="4536"/>
        <w:tab w:val="right" w:pos="9072"/>
      </w:tabs>
    </w:pPr>
  </w:style>
  <w:style w:type="character" w:customStyle="1" w:styleId="En-tteCar">
    <w:name w:val="En-tête Car"/>
    <w:basedOn w:val="Policepardfaut"/>
    <w:link w:val="En-tte"/>
    <w:uiPriority w:val="99"/>
    <w:rsid w:val="003D7370"/>
  </w:style>
  <w:style w:type="paragraph" w:styleId="Pieddepage">
    <w:name w:val="footer"/>
    <w:basedOn w:val="Normal"/>
    <w:link w:val="PieddepageCar"/>
    <w:uiPriority w:val="99"/>
    <w:unhideWhenUsed/>
    <w:rsid w:val="003D7370"/>
    <w:pPr>
      <w:tabs>
        <w:tab w:val="center" w:pos="4536"/>
        <w:tab w:val="right" w:pos="9072"/>
      </w:tabs>
    </w:pPr>
  </w:style>
  <w:style w:type="character" w:customStyle="1" w:styleId="PieddepageCar">
    <w:name w:val="Pied de page Car"/>
    <w:basedOn w:val="Policepardfaut"/>
    <w:link w:val="Pieddepage"/>
    <w:uiPriority w:val="99"/>
    <w:rsid w:val="003D7370"/>
  </w:style>
  <w:style w:type="character" w:styleId="Lienhypertexte">
    <w:name w:val="Hyperlink"/>
    <w:basedOn w:val="Policepardfaut"/>
    <w:uiPriority w:val="99"/>
    <w:unhideWhenUsed/>
    <w:rsid w:val="005A2309"/>
    <w:rPr>
      <w:color w:val="0000FF" w:themeColor="hyperlink"/>
      <w:u w:val="single"/>
    </w:rPr>
  </w:style>
  <w:style w:type="character" w:styleId="Mentionnonrsolue">
    <w:name w:val="Unresolved Mention"/>
    <w:basedOn w:val="Policepardfaut"/>
    <w:uiPriority w:val="99"/>
    <w:semiHidden/>
    <w:unhideWhenUsed/>
    <w:rsid w:val="005A2309"/>
    <w:rPr>
      <w:color w:val="605E5C"/>
      <w:shd w:val="clear" w:color="auto" w:fill="E1DFDD"/>
    </w:rPr>
  </w:style>
  <w:style w:type="character" w:styleId="Lienhypertextesuivivisit">
    <w:name w:val="FollowedHyperlink"/>
    <w:basedOn w:val="Policepardfaut"/>
    <w:uiPriority w:val="99"/>
    <w:semiHidden/>
    <w:unhideWhenUsed/>
    <w:rsid w:val="00897C36"/>
    <w:rPr>
      <w:color w:val="800080" w:themeColor="followedHyperlink"/>
      <w:u w:val="single"/>
    </w:rPr>
  </w:style>
  <w:style w:type="character" w:customStyle="1" w:styleId="Titre3Car">
    <w:name w:val="Titre 3 Car"/>
    <w:basedOn w:val="Policepardfaut"/>
    <w:link w:val="Titre3"/>
    <w:uiPriority w:val="9"/>
    <w:rsid w:val="00E74832"/>
    <w:rPr>
      <w:rFonts w:ascii="Arial" w:eastAsia="Times New Roman" w:hAnsi="Arial" w:cs="Times New Roman"/>
      <w:sz w:val="28"/>
      <w:szCs w:val="20"/>
      <w:lang w:val="fr-FR" w:eastAsia="fr-FR"/>
    </w:rPr>
  </w:style>
  <w:style w:type="paragraph" w:styleId="NormalWeb">
    <w:name w:val="Normal (Web)"/>
    <w:basedOn w:val="Normal"/>
    <w:uiPriority w:val="99"/>
    <w:semiHidden/>
    <w:unhideWhenUsed/>
    <w:rsid w:val="008D52CB"/>
    <w:pPr>
      <w:widowControl/>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F785F"/>
    <w:rPr>
      <w:rFonts w:asciiTheme="majorHAnsi" w:eastAsiaTheme="majorEastAsia" w:hAnsiTheme="majorHAnsi" w:cstheme="majorBidi"/>
      <w:color w:val="365F91" w:themeColor="accent1" w:themeShade="BF"/>
      <w:sz w:val="28"/>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5207">
      <w:bodyDiv w:val="1"/>
      <w:marLeft w:val="0"/>
      <w:marRight w:val="0"/>
      <w:marTop w:val="0"/>
      <w:marBottom w:val="0"/>
      <w:divBdr>
        <w:top w:val="none" w:sz="0" w:space="0" w:color="auto"/>
        <w:left w:val="none" w:sz="0" w:space="0" w:color="auto"/>
        <w:bottom w:val="none" w:sz="0" w:space="0" w:color="auto"/>
        <w:right w:val="none" w:sz="0" w:space="0" w:color="auto"/>
      </w:divBdr>
    </w:div>
    <w:div w:id="320935005">
      <w:bodyDiv w:val="1"/>
      <w:marLeft w:val="0"/>
      <w:marRight w:val="0"/>
      <w:marTop w:val="0"/>
      <w:marBottom w:val="0"/>
      <w:divBdr>
        <w:top w:val="none" w:sz="0" w:space="0" w:color="auto"/>
        <w:left w:val="none" w:sz="0" w:space="0" w:color="auto"/>
        <w:bottom w:val="none" w:sz="0" w:space="0" w:color="auto"/>
        <w:right w:val="none" w:sz="0" w:space="0" w:color="auto"/>
      </w:divBdr>
    </w:div>
    <w:div w:id="1032267656">
      <w:bodyDiv w:val="1"/>
      <w:marLeft w:val="0"/>
      <w:marRight w:val="0"/>
      <w:marTop w:val="0"/>
      <w:marBottom w:val="0"/>
      <w:divBdr>
        <w:top w:val="none" w:sz="0" w:space="0" w:color="auto"/>
        <w:left w:val="none" w:sz="0" w:space="0" w:color="auto"/>
        <w:bottom w:val="none" w:sz="0" w:space="0" w:color="auto"/>
        <w:right w:val="none" w:sz="0" w:space="0" w:color="auto"/>
      </w:divBdr>
    </w:div>
    <w:div w:id="1504391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difica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502</Words>
  <Characters>2767</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EDI-IR : Tolérance au 30 juin</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Frederique DANJON</dc:creator>
  <cp:lastModifiedBy>Frederique DANJON</cp:lastModifiedBy>
  <cp:revision>5</cp:revision>
  <dcterms:created xsi:type="dcterms:W3CDTF">2021-05-17T10:47:00Z</dcterms:created>
  <dcterms:modified xsi:type="dcterms:W3CDTF">2021-05-17T11:31:00Z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2014-11-26T00:00:00Z</vt:filetime>
  </property>
  <property fmtid="{D5CDD505-2E9C-101B-9397-08002B2CF9AE}" pid="3" name="LastSaved">
    <vt:filetime>2015-07-03T00:00:00Z</vt:filetime>
  </property>
</Properties>
</file>